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default"/>
          <w:b/>
          <w:bCs/>
          <w:sz w:val="30"/>
          <w:szCs w:val="30"/>
          <w:lang w:val="en-US" w:eastAsia="zh-CN"/>
        </w:rPr>
        <w:t>W-900油烟在线连续监控仪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技术原理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光学油烟监测仪基于前向光散射原理。使用激光光源照射到被测量的烟道中，烟道中存在的油烟粒子使得激光束发生散射，散射光强度与油烟浓度成正比关系。因此可以建立起油烟浓度与激光散射光强度之前确定的对应关系。经过厂内标准浓度标定以后，即可通过对散射光强度的测量得到准确的油烟浓度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技术指标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测量下限：优于0.1mg/m³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测量范围：0~10mg/m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测量误差：优于6%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测量时间：0.5s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零点漂移：0.1mg/m³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使用温度：- 30℃~100℃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产品特性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◆  光学测量原理，灵敏可靠。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◆  独创反吹气路，阻隔油烟污染，维护周期长达1年。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◆  无易耗损部件，使用寿命长。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◆  分布式终端+数据平台模式，数据实时存储，无线上传。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◆  实时监测净化设备状态。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◆  集成无线数传模块（可选）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◆  支持单主机双探头模式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注*：维护周期1年为油烟排放达标前提下(不高于2mg）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每天承受油烟排放可能因使用环境变化导致维护周期缩短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223"/>
    <w:rsid w:val="40C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2020-10-15T07:27:00Z</dcterms:created>
  <dc:creator>西石（厦门）科技</dc:creator>
  <cp:lastModifiedBy>西石（厦门）科技</cp:lastModifiedBy>
  <dcterms:modified xsi:type="dcterms:W3CDTF">2020-10-15T07:27:49Z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